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18"/>
        <w:tblW w:w="912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94"/>
        <w:gridCol w:w="2479"/>
        <w:gridCol w:w="2912"/>
        <w:gridCol w:w="1736"/>
      </w:tblGrid>
      <w:tr w:rsidR="00D45265" w:rsidRPr="00061E3E" w:rsidTr="001110F9">
        <w:trPr>
          <w:trHeight w:val="17"/>
        </w:trPr>
        <w:tc>
          <w:tcPr>
            <w:tcW w:w="19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265" w:rsidRPr="00061E3E" w:rsidRDefault="00D45265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D45265" w:rsidRPr="00061E3E" w:rsidRDefault="00D45265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829310" cy="720725"/>
                  <wp:effectExtent l="19050" t="0" r="8890" b="0"/>
                  <wp:docPr id="29" name="Figura2" descr="timbr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2" descr="timbr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2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265" w:rsidRPr="00061E3E" w:rsidRDefault="00D45265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PROCEDIMENTO OPERACIONAL PADRÃO</w:t>
            </w:r>
          </w:p>
        </w:tc>
      </w:tr>
      <w:tr w:rsidR="00D45265" w:rsidRPr="00061E3E" w:rsidTr="001110F9">
        <w:trPr>
          <w:trHeight w:val="128"/>
        </w:trPr>
        <w:tc>
          <w:tcPr>
            <w:tcW w:w="19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265" w:rsidRPr="00061E3E" w:rsidRDefault="00D45265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265" w:rsidRPr="00061E3E" w:rsidRDefault="00D45265" w:rsidP="001110F9">
            <w:pPr>
              <w:widowControl w:val="0"/>
              <w:spacing w:after="0" w:line="240" w:lineRule="auto"/>
              <w:ind w:left="733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Número:</w:t>
            </w:r>
          </w:p>
          <w:p w:rsidR="00D45265" w:rsidRPr="00061E3E" w:rsidRDefault="00D45265" w:rsidP="001110F9">
            <w:pPr>
              <w:pStyle w:val="Sumrio1"/>
            </w:pPr>
            <w:r w:rsidRPr="00061E3E">
              <w:t xml:space="preserve"> POP DAF 003</w:t>
            </w:r>
          </w:p>
        </w:tc>
        <w:tc>
          <w:tcPr>
            <w:tcW w:w="2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265" w:rsidRPr="00061E3E" w:rsidRDefault="00D45265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Data da Validação:</w:t>
            </w:r>
          </w:p>
          <w:p w:rsidR="00D45265" w:rsidRPr="00061E3E" w:rsidRDefault="00D45265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01/09/2022</w:t>
            </w:r>
          </w:p>
        </w:tc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265" w:rsidRPr="00061E3E" w:rsidRDefault="00D45265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Revisar em:</w:t>
            </w:r>
          </w:p>
          <w:p w:rsidR="00D45265" w:rsidRPr="00061E3E" w:rsidRDefault="00D45265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01/09/2024</w:t>
            </w:r>
          </w:p>
          <w:p w:rsidR="00D45265" w:rsidRPr="00061E3E" w:rsidRDefault="00D45265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D45265" w:rsidRPr="00061E3E" w:rsidTr="001110F9">
        <w:trPr>
          <w:trHeight w:val="185"/>
        </w:trPr>
        <w:tc>
          <w:tcPr>
            <w:tcW w:w="912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265" w:rsidRPr="00061E3E" w:rsidRDefault="00D45265" w:rsidP="001110F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ACEITE DE ENTRADA DE MEDICAMENTOS E INSUMOS NO SISTEMA PREFEITURA</w:t>
            </w:r>
          </w:p>
        </w:tc>
      </w:tr>
      <w:tr w:rsidR="00D45265" w:rsidRPr="00061E3E" w:rsidTr="001110F9">
        <w:trPr>
          <w:trHeight w:val="590"/>
        </w:trPr>
        <w:tc>
          <w:tcPr>
            <w:tcW w:w="912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265" w:rsidRPr="00061E3E" w:rsidRDefault="00D45265" w:rsidP="001110F9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OBJETIVO: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Realizar corretamente o aceite de Medicamentos e Insumos via Sistema Prefeitura, garantindo a correta entrada no sistema de estoque.</w:t>
            </w:r>
          </w:p>
        </w:tc>
      </w:tr>
      <w:tr w:rsidR="00D45265" w:rsidRPr="00061E3E" w:rsidTr="001110F9">
        <w:trPr>
          <w:trHeight w:val="10177"/>
        </w:trPr>
        <w:tc>
          <w:tcPr>
            <w:tcW w:w="912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265" w:rsidRPr="00061E3E" w:rsidRDefault="00D45265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1º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Depois de receber corretamente os medicamentos e insumos do pedido semanal e assinar as Guias de Entrada, anotar a placa do veículo que fez a entrega.</w:t>
            </w:r>
          </w:p>
          <w:p w:rsidR="00D45265" w:rsidRPr="00061E3E" w:rsidRDefault="00D45265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Entrar na página da intranet da Prefeitura Municipal de São José dos Pinhais.</w:t>
            </w:r>
          </w:p>
          <w:p w:rsidR="00D45265" w:rsidRPr="00061E3E" w:rsidRDefault="00D45265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3º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Clicar em “Sistemas” – “Sistemas Prefeitura” – Realizar o </w:t>
            </w:r>
            <w:proofErr w:type="spellStart"/>
            <w:r w:rsidRPr="00061E3E">
              <w:rPr>
                <w:rFonts w:ascii="Times New Roman" w:hAnsi="Times New Roman"/>
                <w:sz w:val="18"/>
                <w:szCs w:val="18"/>
              </w:rPr>
              <w:t>Login</w:t>
            </w:r>
            <w:proofErr w:type="spellEnd"/>
            <w:r w:rsidRPr="00061E3E">
              <w:rPr>
                <w:rFonts w:ascii="Times New Roman" w:hAnsi="Times New Roman"/>
                <w:sz w:val="18"/>
                <w:szCs w:val="18"/>
              </w:rPr>
              <w:t xml:space="preserve"> – Clicar em “Almoxarifado” – “Confirmar Recebimento”</w:t>
            </w:r>
          </w:p>
          <w:p w:rsidR="00D45265" w:rsidRPr="00061E3E" w:rsidRDefault="00D45265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Digitar o código da guia em campo específico, verificar se os itens que aparecem na tela são os mesmos da guia original. Se necessário </w:t>
            </w:r>
            <w:proofErr w:type="gramStart"/>
            <w:r w:rsidRPr="00061E3E">
              <w:rPr>
                <w:rFonts w:ascii="Times New Roman" w:hAnsi="Times New Roman"/>
                <w:sz w:val="18"/>
                <w:szCs w:val="18"/>
              </w:rPr>
              <w:t>fazer</w:t>
            </w:r>
            <w:proofErr w:type="gramEnd"/>
            <w:r w:rsidRPr="00061E3E">
              <w:rPr>
                <w:rFonts w:ascii="Times New Roman" w:hAnsi="Times New Roman"/>
                <w:sz w:val="18"/>
                <w:szCs w:val="18"/>
              </w:rPr>
              <w:t xml:space="preserve"> as anotações cabíveis no campo “observações”. Realizar esse procedimento para todas as guias.</w:t>
            </w:r>
          </w:p>
          <w:p w:rsidR="00D45265" w:rsidRPr="00061E3E" w:rsidRDefault="00D45265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5º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Digitar a placa do veículo e “gravar”.</w:t>
            </w:r>
          </w:p>
          <w:p w:rsidR="00D45265" w:rsidRPr="00061E3E" w:rsidRDefault="00D45265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6º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Entrar no Sistema IDS saúde – Aba Estoque – Movimentação – Entradas de Insumo - Pesquisa – Seleciona “documento”, digitar o número da guia e conferir se foi realizada a entrada corretamente.</w:t>
            </w:r>
          </w:p>
          <w:p w:rsidR="00D45265" w:rsidRPr="00061E3E" w:rsidRDefault="00D45265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7º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Arquivar as guias em pasta própria para consulta futura, caso seja necessário.</w:t>
            </w:r>
          </w:p>
          <w:p w:rsidR="00D45265" w:rsidRDefault="00D45265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D45265" w:rsidRDefault="00D45265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D45265" w:rsidRDefault="00D45265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D45265" w:rsidRDefault="00D45265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D45265" w:rsidRDefault="00D45265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D45265" w:rsidRDefault="00D45265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D45265" w:rsidRDefault="00D45265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D45265" w:rsidRDefault="00D45265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D45265" w:rsidRDefault="00D45265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D45265" w:rsidRDefault="00D45265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D45265" w:rsidRDefault="00D45265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D45265" w:rsidRDefault="00D45265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D45265" w:rsidRDefault="00D45265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D45265" w:rsidRDefault="00D45265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D45265" w:rsidRDefault="00D45265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D45265" w:rsidRDefault="00D45265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D45265" w:rsidRDefault="00D45265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D45265" w:rsidRDefault="00D45265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D45265" w:rsidRDefault="00D45265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D45265" w:rsidRDefault="00D45265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D45265" w:rsidRDefault="00D45265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D45265" w:rsidRDefault="00D45265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D45265" w:rsidRPr="00061E3E" w:rsidRDefault="00D45265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2E29E2" w:rsidRDefault="002E29E2"/>
    <w:sectPr w:rsidR="002E29E2" w:rsidSect="002E2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A4ACD"/>
    <w:multiLevelType w:val="hybridMultilevel"/>
    <w:tmpl w:val="D39A6CA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62127"/>
    <w:rsid w:val="00266E06"/>
    <w:rsid w:val="002E29E2"/>
    <w:rsid w:val="00562127"/>
    <w:rsid w:val="005F44C9"/>
    <w:rsid w:val="008360F0"/>
    <w:rsid w:val="00AE272B"/>
    <w:rsid w:val="00D4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27"/>
    <w:pPr>
      <w:suppressAutoHyphens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562127"/>
    <w:pPr>
      <w:tabs>
        <w:tab w:val="right" w:leader="dot" w:pos="9071"/>
      </w:tabs>
      <w:suppressAutoHyphens w:val="0"/>
      <w:spacing w:after="100"/>
      <w:jc w:val="center"/>
    </w:pPr>
    <w:rPr>
      <w:rFonts w:ascii="Times New Roman" w:hAnsi="Times New Roman"/>
      <w:b/>
      <w:bCs/>
      <w:noProof/>
      <w:color w:val="00000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360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0F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266E06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1064</Characters>
  <Application>Microsoft Office Word</Application>
  <DocSecurity>0</DocSecurity>
  <Lines>8</Lines>
  <Paragraphs>2</Paragraphs>
  <ScaleCrop>false</ScaleCrop>
  <Company>Prefeitura Municipal de São José dos Pinhais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leticia.buiar</dc:creator>
  <cp:lastModifiedBy>leticia.buiar</cp:lastModifiedBy>
  <cp:revision>2</cp:revision>
  <dcterms:created xsi:type="dcterms:W3CDTF">2022-10-17T19:55:00Z</dcterms:created>
  <dcterms:modified xsi:type="dcterms:W3CDTF">2022-10-17T19:55:00Z</dcterms:modified>
</cp:coreProperties>
</file>