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EA" w:rsidRDefault="00C739EA" w:rsidP="00C739E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NORMATIVAS PARA PRESCRIÇÃO DE MEDICAMENTOS</w:t>
      </w:r>
      <w:r>
        <w:t xml:space="preserve"> </w:t>
      </w:r>
      <w:r>
        <w:rPr>
          <w:b/>
          <w:bCs/>
          <w:i/>
          <w:iCs/>
          <w:u w:val="single"/>
        </w:rPr>
        <w:t xml:space="preserve">– </w:t>
      </w:r>
      <w:r>
        <w:rPr>
          <w:b/>
          <w:bCs/>
          <w:i/>
          <w:iCs/>
          <w:u w:val="single"/>
        </w:rPr>
        <w:t>COMESP</w:t>
      </w:r>
      <w:r w:rsidR="00D503C7">
        <w:rPr>
          <w:b/>
          <w:bCs/>
          <w:i/>
          <w:iCs/>
          <w:u w:val="single"/>
        </w:rPr>
        <w:t xml:space="preserve"> E</w:t>
      </w:r>
    </w:p>
    <w:p w:rsidR="00C739EA" w:rsidRDefault="00C739EA" w:rsidP="00C739E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MEDICAMENTOS DO COMPONENTE ESPECIALIZADO DA ASSISTÊNCIA FARMACÊUTICA</w:t>
      </w:r>
    </w:p>
    <w:p w:rsidR="00C739EA" w:rsidRDefault="00C739EA" w:rsidP="00C739EA"/>
    <w:p w:rsidR="00C739EA" w:rsidRDefault="00C739EA" w:rsidP="00C739EA">
      <w:r>
        <w:rPr>
          <w:i/>
          <w:iCs/>
        </w:rPr>
        <w:t xml:space="preserve">Com a finalidade de facilitar o acesso dos pacientes aos medicamentos em todos os Municípios pertencentes à Região Metropolitana de Curitiba e que fazem parte </w:t>
      </w:r>
    </w:p>
    <w:p w:rsidR="00C739EA" w:rsidRDefault="00C739EA" w:rsidP="00C739EA">
      <w:pPr>
        <w:rPr>
          <w:i/>
          <w:iCs/>
        </w:rPr>
      </w:pPr>
      <w:proofErr w:type="gramStart"/>
      <w:r>
        <w:rPr>
          <w:i/>
          <w:iCs/>
        </w:rPr>
        <w:t>do</w:t>
      </w:r>
      <w:proofErr w:type="gramEnd"/>
      <w:r>
        <w:rPr>
          <w:i/>
          <w:iCs/>
        </w:rPr>
        <w:t xml:space="preserve"> COMESP, é que solicitamos aos senhores </w:t>
      </w:r>
      <w:proofErr w:type="spellStart"/>
      <w:r>
        <w:rPr>
          <w:i/>
          <w:iCs/>
        </w:rPr>
        <w:t>prescritores</w:t>
      </w:r>
      <w:proofErr w:type="spellEnd"/>
      <w:r>
        <w:rPr>
          <w:i/>
          <w:iCs/>
        </w:rPr>
        <w:t xml:space="preserve"> que cumpram as orientações relacionadas à legislação e regulamentação vigente no Sistema Único de Saúde e resumidas abaixo:</w:t>
      </w:r>
    </w:p>
    <w:p w:rsidR="00C739EA" w:rsidRDefault="00C739EA" w:rsidP="00C739EA">
      <w:pPr>
        <w:rPr>
          <w:i/>
          <w:iCs/>
        </w:rPr>
      </w:pPr>
    </w:p>
    <w:p w:rsidR="00C739EA" w:rsidRDefault="00C739EA" w:rsidP="00C739EA"/>
    <w:p w:rsidR="00C739EA" w:rsidRDefault="00C739EA" w:rsidP="00C739EA">
      <w:pPr>
        <w:rPr>
          <w:b/>
          <w:bCs/>
        </w:rPr>
      </w:pPr>
      <w:r>
        <w:rPr>
          <w:b/>
          <w:bCs/>
        </w:rPr>
        <w:t>Toda receita de Medicamentos deverá: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Utilizar a RENAME (Relação Nacional de Medicamentos Essenciais) como norteadora das prescrições de medicamentos nos serviços de saúde;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 Ser prescrita em receituário próprio do COMESP</w:t>
      </w:r>
      <w:r w:rsidR="00D503C7">
        <w:rPr>
          <w:rFonts w:eastAsia="Times New Roman"/>
        </w:rPr>
        <w:t xml:space="preserve"> ou PMSJP com identificação da Unidade de Saúde</w:t>
      </w:r>
      <w:bookmarkStart w:id="0" w:name="_GoBack"/>
      <w:bookmarkEnd w:id="0"/>
      <w:r>
        <w:rPr>
          <w:rFonts w:eastAsia="Times New Roman"/>
        </w:rPr>
        <w:t xml:space="preserve">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 Conter o nome completo do paciente e data de nascimento;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 Conter data de emissão, nome completo do médico e assinatura, além do número no Conselho Profissional;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 Ser prescrita pela Denominação Comum Brasileira (DCB) ou denominação genérica do medicamento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 Indicar a forma farmacêutica, posologia, modo de usar e duração do tratamento;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  Não é aceito rasura nas receitas, bem como troca de caneta ou inserção de dados à caneta em receitas informatizadas.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Prescrever em unidades como cápsula, comprimidos, mililitros, etc. Evitar colocar número de caixas ou frascos. </w:t>
      </w:r>
    </w:p>
    <w:p w:rsidR="00C739EA" w:rsidRDefault="00C739EA" w:rsidP="00C739EA">
      <w:r>
        <w:rPr>
          <w:b/>
          <w:bCs/>
        </w:rPr>
        <w:t>Toda receita de Medicamento Sob Controle Especial deverá: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Conter o nome completo do paciente, data de nascimento e endereço;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 Conter apenas um princípio ativo por receita;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 Determinar a quantidade de medicamento à ser dispensada, considerando o período legal de 60 dias (lista B e C) ou 30 dias (lista </w:t>
      </w:r>
      <w:proofErr w:type="gramStart"/>
      <w:r>
        <w:rPr>
          <w:rFonts w:eastAsia="Times New Roman"/>
        </w:rPr>
        <w:t>A)  conforme</w:t>
      </w:r>
      <w:proofErr w:type="gramEnd"/>
      <w:r>
        <w:rPr>
          <w:rFonts w:eastAsia="Times New Roman"/>
        </w:rPr>
        <w:t xml:space="preserve"> legislação*;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Vir acompanhado pela Notificação de receita (lista A e B) e termo de esclarecimento e responsabilidade conforme legislação;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Não serão aceitas notificações de receitas (talonário azul e amarelo), desacompanhadas de receituário comum;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 Medicamentos antimicrobianos deverão ser prescritos em duas vias e conter todas as especificações acima descritas;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 Tratamentos prolongados com antibióticos deverão ser prescritos para período de no máximo 90 dias; </w:t>
      </w:r>
    </w:p>
    <w:p w:rsidR="00C739EA" w:rsidRDefault="00C739EA" w:rsidP="00C739EA">
      <w:pPr>
        <w:numPr>
          <w:ilvl w:val="2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 A validade da receita de medicamentos controlados é de 30 dias e de antimicrobianos de 10 dias; comunicar ao paciente.</w:t>
      </w:r>
    </w:p>
    <w:p w:rsidR="00C739EA" w:rsidRDefault="00C739EA" w:rsidP="00C739EA">
      <w:r>
        <w:t>* incluir tabela</w:t>
      </w:r>
    </w:p>
    <w:p w:rsidR="00C739EA" w:rsidRDefault="00C739EA" w:rsidP="00C739EA">
      <w:r>
        <w:rPr>
          <w:b/>
          <w:bCs/>
        </w:rPr>
        <w:t>Toda receita de Medicamentos Pertencente ao Programa de Componente Especializado da Assistência Farmacêutica deverá: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Estar acompanhada pelo Laudo de Solicitação Avaliação e Autorização de medicamento (LME); 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Sempre informar na LME a quantidade mensal do medicamento à ser utilizado; 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Todos os campos da LME devem ser preenchidos do campo 1 ao 17 pelo médico; 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O paciente ou responsável deverá preencher os campos 18 a 23 da LME; 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O prazo da LME e receitas para solicitação e renovação é de 60 dias; 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Medicamentos para CID diferentes devem estar em </w:t>
      </w:r>
      <w:proofErr w:type="spellStart"/>
      <w:r>
        <w:t>LMEs</w:t>
      </w:r>
      <w:proofErr w:type="spellEnd"/>
      <w:r>
        <w:t xml:space="preserve"> separadas; 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Para o mesmo CID são aceitos até 05 (cinco) medicamentos por LME; 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Medicamentos do PROGRAMA PARANÁ SEM DOR (codeína, </w:t>
      </w:r>
      <w:proofErr w:type="spellStart"/>
      <w:r>
        <w:t>gabapentina</w:t>
      </w:r>
      <w:proofErr w:type="spellEnd"/>
      <w:r>
        <w:t xml:space="preserve">, morfina e </w:t>
      </w:r>
      <w:proofErr w:type="spellStart"/>
      <w:r>
        <w:t>metadona</w:t>
      </w:r>
      <w:proofErr w:type="spellEnd"/>
      <w:r>
        <w:t>) deverão vir acompanhados da LME padrão PARANÁ SEM DOR na solicitação.</w:t>
      </w:r>
    </w:p>
    <w:p w:rsidR="00C739EA" w:rsidRDefault="00C739EA" w:rsidP="00C739EA">
      <w:pPr>
        <w:numPr>
          <w:ilvl w:val="2"/>
          <w:numId w:val="2"/>
        </w:numPr>
        <w:spacing w:after="200" w:line="276" w:lineRule="auto"/>
      </w:pPr>
      <w:r>
        <w:t xml:space="preserve"> Todos os protocolos específicos poderão ser consultados no link ### </w:t>
      </w:r>
    </w:p>
    <w:p w:rsidR="00C739EA" w:rsidRDefault="00C739EA" w:rsidP="00C739EA">
      <w:r>
        <w:rPr>
          <w:b/>
          <w:bCs/>
        </w:rPr>
        <w:t>RELATÓRIO MÉDICO ESPECIFICO deverá ser preenchido para as doenças: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 xml:space="preserve"> ARTRITE REUMATÓIDE; 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 xml:space="preserve"> COMPORTAMENTO AGRESSIVO NO TRANSTORNO DO ESPECTRO DO AUTISMO; 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 xml:space="preserve"> DISTÚRBIO MINERAL E ÓSSEO NA DOENÇA RENAL CRÔNICA; 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 xml:space="preserve"> ESCLEROSE MÚLTIPLA; 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> HEPATITE C;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 xml:space="preserve">DM tipo 1 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 xml:space="preserve"> ICTIOSES HEREDITÁRIAS; 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lastRenderedPageBreak/>
        <w:t xml:space="preserve"> SINDROME DE GUILLAIN – BARRÉ 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> TRANSTORNO AFETIVO BIPOLAR AFETIVO TIPO I;</w:t>
      </w:r>
    </w:p>
    <w:p w:rsidR="00C739EA" w:rsidRDefault="00C739EA" w:rsidP="00C739EA">
      <w:pPr>
        <w:numPr>
          <w:ilvl w:val="4"/>
          <w:numId w:val="2"/>
        </w:numPr>
        <w:spacing w:after="200" w:line="276" w:lineRule="auto"/>
      </w:pPr>
      <w:r>
        <w:t xml:space="preserve"> SOMATROPINA </w:t>
      </w:r>
    </w:p>
    <w:p w:rsidR="00C739EA" w:rsidRDefault="00C739EA" w:rsidP="00C739EA">
      <w:pPr>
        <w:numPr>
          <w:ilvl w:val="0"/>
          <w:numId w:val="2"/>
        </w:numPr>
        <w:spacing w:after="200" w:line="276" w:lineRule="auto"/>
      </w:pPr>
      <w:r>
        <w:t xml:space="preserve">FICA ACORDADO COM OS MUNICÍPIOS QUE AS RENOVAÇÕES DE RECEITAS DO </w:t>
      </w:r>
      <w:r>
        <w:rPr>
          <w:b/>
          <w:bCs/>
        </w:rPr>
        <w:t xml:space="preserve">LME </w:t>
      </w:r>
      <w:r>
        <w:rPr>
          <w:b/>
          <w:bCs/>
          <w:u w:val="single"/>
        </w:rPr>
        <w:t>PODERÃO SER</w:t>
      </w:r>
      <w:r>
        <w:rPr>
          <w:u w:val="single"/>
        </w:rPr>
        <w:t xml:space="preserve"> </w:t>
      </w:r>
      <w:r>
        <w:rPr>
          <w:b/>
          <w:bCs/>
          <w:u w:val="single"/>
        </w:rPr>
        <w:t>REALIZADAS NO PRÓPRIO MUNICÍPIO PELOS MÉDICOS DAS UBS, QUANDO O PACIENTE TIVER O PLANO DE CUIDADOS</w:t>
      </w:r>
      <w:r>
        <w:t xml:space="preserve">. </w:t>
      </w:r>
    </w:p>
    <w:p w:rsidR="00C739EA" w:rsidRDefault="00C739EA" w:rsidP="00C739EA">
      <w:pPr>
        <w:numPr>
          <w:ilvl w:val="0"/>
          <w:numId w:val="2"/>
        </w:numPr>
        <w:spacing w:after="200" w:line="276" w:lineRule="auto"/>
      </w:pPr>
      <w:r>
        <w:t xml:space="preserve">PEDIMOS A COLABORAÇÃO E COMPREENSÃO DOS SENHORES (AS) NO SENTIDO DE EVITAR TRANSTORNOS. </w:t>
      </w:r>
    </w:p>
    <w:p w:rsidR="00830B0C" w:rsidRDefault="00830B0C"/>
    <w:sectPr w:rsidR="00830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4DC0"/>
    <w:multiLevelType w:val="hybridMultilevel"/>
    <w:tmpl w:val="0010CBA6"/>
    <w:lvl w:ilvl="0" w:tplc="3CCE17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03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E7B9C">
      <w:start w:val="68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7CA2DD7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8ECD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E05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E7C8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FDD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084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C02"/>
    <w:multiLevelType w:val="hybridMultilevel"/>
    <w:tmpl w:val="AB50B37A"/>
    <w:lvl w:ilvl="0" w:tplc="05644F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9E60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563D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F156F19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56ED7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F142FA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2005DC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79B48C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63E31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A"/>
    <w:rsid w:val="00830B0C"/>
    <w:rsid w:val="00C739EA"/>
    <w:rsid w:val="00D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81E8-7F46-4A48-B625-E9356CEE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E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Maria Graczyk Takayasu</dc:creator>
  <cp:keywords/>
  <dc:description/>
  <cp:lastModifiedBy>Scheila Maria Graczyk Takayasu</cp:lastModifiedBy>
  <cp:revision>2</cp:revision>
  <dcterms:created xsi:type="dcterms:W3CDTF">2019-03-12T20:06:00Z</dcterms:created>
  <dcterms:modified xsi:type="dcterms:W3CDTF">2019-03-12T20:09:00Z</dcterms:modified>
</cp:coreProperties>
</file>