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37" w:rsidRPr="00861E19" w:rsidRDefault="007F2337" w:rsidP="00861E19">
      <w:pPr>
        <w:spacing w:line="360" w:lineRule="auto"/>
        <w:rPr>
          <w:rFonts w:ascii="Arial" w:hAnsi="Arial" w:cs="Arial"/>
          <w:sz w:val="24"/>
          <w:szCs w:val="24"/>
        </w:rPr>
      </w:pPr>
      <w:r w:rsidRPr="00861E19">
        <w:rPr>
          <w:rFonts w:ascii="Arial" w:hAnsi="Arial" w:cs="Arial"/>
          <w:b/>
          <w:sz w:val="24"/>
          <w:szCs w:val="24"/>
        </w:rPr>
        <w:t>Objetivo:</w:t>
      </w:r>
      <w:r w:rsidRPr="00861E19">
        <w:rPr>
          <w:rFonts w:ascii="Arial" w:hAnsi="Arial" w:cs="Arial"/>
          <w:sz w:val="24"/>
          <w:szCs w:val="24"/>
        </w:rPr>
        <w:t xml:space="preserve"> </w:t>
      </w:r>
      <w:r w:rsidR="00D12B7A">
        <w:rPr>
          <w:rFonts w:ascii="Arial" w:hAnsi="Arial" w:cs="Arial"/>
          <w:sz w:val="24"/>
          <w:szCs w:val="24"/>
        </w:rPr>
        <w:t xml:space="preserve">Realizar corretamente o aceite de Medicamentos e Insumos </w:t>
      </w:r>
      <w:r w:rsidR="00D12B7A" w:rsidRPr="00861E19">
        <w:rPr>
          <w:rFonts w:ascii="Arial" w:hAnsi="Arial" w:cs="Arial"/>
          <w:sz w:val="24"/>
          <w:szCs w:val="24"/>
        </w:rPr>
        <w:t>via Sistema Prefeitura</w:t>
      </w:r>
      <w:r w:rsidR="00D12B7A">
        <w:rPr>
          <w:rFonts w:ascii="Arial" w:hAnsi="Arial" w:cs="Arial"/>
          <w:sz w:val="24"/>
          <w:szCs w:val="24"/>
        </w:rPr>
        <w:t>,</w:t>
      </w:r>
      <w:r w:rsidR="003D292C" w:rsidRPr="00861E19">
        <w:rPr>
          <w:rFonts w:ascii="Arial" w:hAnsi="Arial" w:cs="Arial"/>
          <w:sz w:val="24"/>
          <w:szCs w:val="24"/>
        </w:rPr>
        <w:t xml:space="preserve"> garantindo a correta entrada no sistema de estoque</w:t>
      </w:r>
      <w:bookmarkStart w:id="0" w:name="_GoBack"/>
      <w:bookmarkEnd w:id="0"/>
      <w:r w:rsidR="00D12B7A">
        <w:rPr>
          <w:rFonts w:ascii="Arial" w:hAnsi="Arial" w:cs="Arial"/>
          <w:sz w:val="24"/>
          <w:szCs w:val="24"/>
        </w:rPr>
        <w:t>.</w:t>
      </w:r>
    </w:p>
    <w:p w:rsidR="0001308B" w:rsidRPr="00861E19" w:rsidRDefault="0001308B" w:rsidP="00861E19">
      <w:pPr>
        <w:spacing w:line="360" w:lineRule="auto"/>
        <w:rPr>
          <w:rFonts w:ascii="Arial" w:hAnsi="Arial" w:cs="Arial"/>
          <w:sz w:val="24"/>
          <w:szCs w:val="24"/>
        </w:rPr>
      </w:pPr>
      <w:r w:rsidRPr="00861E19">
        <w:rPr>
          <w:rFonts w:ascii="Arial" w:hAnsi="Arial" w:cs="Arial"/>
          <w:b/>
          <w:sz w:val="24"/>
          <w:szCs w:val="24"/>
        </w:rPr>
        <w:t>Pontos críticos:</w:t>
      </w:r>
      <w:r w:rsidRPr="00861E19">
        <w:rPr>
          <w:rFonts w:ascii="Arial" w:hAnsi="Arial" w:cs="Arial"/>
          <w:sz w:val="24"/>
          <w:szCs w:val="24"/>
        </w:rPr>
        <w:t xml:space="preserve"> </w:t>
      </w:r>
      <w:r w:rsidR="003D292C" w:rsidRPr="00861E19">
        <w:rPr>
          <w:rFonts w:ascii="Arial" w:hAnsi="Arial" w:cs="Arial"/>
          <w:sz w:val="24"/>
          <w:szCs w:val="24"/>
        </w:rPr>
        <w:t>Acesso do servido</w:t>
      </w:r>
      <w:r w:rsidR="00DA00EC">
        <w:rPr>
          <w:rFonts w:ascii="Arial" w:hAnsi="Arial" w:cs="Arial"/>
          <w:sz w:val="24"/>
          <w:szCs w:val="24"/>
        </w:rPr>
        <w:t>r</w:t>
      </w:r>
      <w:r w:rsidR="003D292C" w:rsidRPr="00861E19">
        <w:rPr>
          <w:rFonts w:ascii="Arial" w:hAnsi="Arial" w:cs="Arial"/>
          <w:sz w:val="24"/>
          <w:szCs w:val="24"/>
        </w:rPr>
        <w:t xml:space="preserve"> ao Sistema Prefeitura;</w:t>
      </w:r>
    </w:p>
    <w:tbl>
      <w:tblPr>
        <w:tblStyle w:val="Tabelacomgrade"/>
        <w:tblW w:w="5000" w:type="pct"/>
        <w:tblLook w:val="04A0"/>
      </w:tblPr>
      <w:tblGrid>
        <w:gridCol w:w="1937"/>
        <w:gridCol w:w="8025"/>
      </w:tblGrid>
      <w:tr w:rsidR="007F2337" w:rsidRPr="00861E19" w:rsidTr="00861E19">
        <w:trPr>
          <w:trHeight w:val="721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E19">
              <w:rPr>
                <w:rFonts w:ascii="Arial" w:hAnsi="Arial" w:cs="Arial"/>
                <w:b/>
                <w:sz w:val="24"/>
                <w:szCs w:val="24"/>
              </w:rPr>
              <w:t>Passos</w:t>
            </w:r>
          </w:p>
        </w:tc>
        <w:tc>
          <w:tcPr>
            <w:tcW w:w="4028" w:type="pct"/>
            <w:vAlign w:val="center"/>
          </w:tcPr>
          <w:p w:rsidR="007F2337" w:rsidRPr="00861E19" w:rsidRDefault="00F30A2D" w:rsidP="00861E1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1E1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</w:tc>
      </w:tr>
      <w:tr w:rsidR="007F2337" w:rsidRPr="00861E19" w:rsidTr="00861E19">
        <w:trPr>
          <w:trHeight w:val="370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4028" w:type="pct"/>
            <w:vAlign w:val="center"/>
          </w:tcPr>
          <w:p w:rsidR="007F2337" w:rsidRPr="00861E19" w:rsidRDefault="003D292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Depois de receber corretamente os medicamentos e insumos do pedido semanal e assinar as Guias de Entrada, anotar a placa do veículo que fez a entrega.</w:t>
            </w:r>
          </w:p>
        </w:tc>
      </w:tr>
      <w:tr w:rsidR="007F2337" w:rsidRPr="00861E19" w:rsidTr="00861E19">
        <w:trPr>
          <w:trHeight w:val="370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4028" w:type="pct"/>
            <w:vAlign w:val="center"/>
          </w:tcPr>
          <w:p w:rsidR="007F2337" w:rsidRPr="00861E19" w:rsidRDefault="003D292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Entrar na página da intranet da Prefeitura Municipal de São José dos Pinhais.</w:t>
            </w:r>
          </w:p>
        </w:tc>
      </w:tr>
      <w:tr w:rsidR="007F2337" w:rsidRPr="00861E19" w:rsidTr="00861E19">
        <w:trPr>
          <w:trHeight w:val="350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4028" w:type="pct"/>
            <w:vAlign w:val="center"/>
          </w:tcPr>
          <w:p w:rsidR="007F2337" w:rsidRPr="00861E19" w:rsidRDefault="003D292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 xml:space="preserve">Clicar em “Sistemas” – “Sistemas Prefeitura” – Realizar o </w:t>
            </w:r>
            <w:proofErr w:type="spellStart"/>
            <w:r w:rsidRPr="00861E19"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 w:rsidRPr="00861E19">
              <w:rPr>
                <w:rFonts w:ascii="Arial" w:hAnsi="Arial" w:cs="Arial"/>
                <w:sz w:val="24"/>
                <w:szCs w:val="24"/>
              </w:rPr>
              <w:t xml:space="preserve"> – Clicar em “Almoxarifado” – “Confirmar Recebimento”</w:t>
            </w:r>
          </w:p>
        </w:tc>
      </w:tr>
      <w:tr w:rsidR="007F2337" w:rsidRPr="00861E19" w:rsidTr="00861E19">
        <w:trPr>
          <w:trHeight w:val="370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4028" w:type="pct"/>
            <w:vAlign w:val="center"/>
          </w:tcPr>
          <w:p w:rsidR="007F2337" w:rsidRPr="00861E19" w:rsidRDefault="003D292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 xml:space="preserve">Digitar o código da guia em campo específico, verificar se os itens que aparecem na tela são os mesmos da guia original. Se necessário </w:t>
            </w:r>
            <w:proofErr w:type="gramStart"/>
            <w:r w:rsidRPr="00861E19">
              <w:rPr>
                <w:rFonts w:ascii="Arial" w:hAnsi="Arial" w:cs="Arial"/>
                <w:sz w:val="24"/>
                <w:szCs w:val="24"/>
              </w:rPr>
              <w:t>fazer</w:t>
            </w:r>
            <w:proofErr w:type="gramEnd"/>
            <w:r w:rsidRPr="00861E19">
              <w:rPr>
                <w:rFonts w:ascii="Arial" w:hAnsi="Arial" w:cs="Arial"/>
                <w:sz w:val="24"/>
                <w:szCs w:val="24"/>
              </w:rPr>
              <w:t xml:space="preserve"> as anotações cabíveis no campo “observações”</w:t>
            </w:r>
            <w:r w:rsidR="00D12B7A">
              <w:rPr>
                <w:rFonts w:ascii="Arial" w:hAnsi="Arial" w:cs="Arial"/>
                <w:sz w:val="24"/>
                <w:szCs w:val="24"/>
              </w:rPr>
              <w:t>. R</w:t>
            </w:r>
            <w:r w:rsidR="009E450C" w:rsidRPr="00861E19">
              <w:rPr>
                <w:rFonts w:ascii="Arial" w:hAnsi="Arial" w:cs="Arial"/>
                <w:sz w:val="24"/>
                <w:szCs w:val="24"/>
              </w:rPr>
              <w:t>ealizar esse procedimento para todas as guias.</w:t>
            </w:r>
          </w:p>
        </w:tc>
      </w:tr>
      <w:tr w:rsidR="007F2337" w:rsidRPr="00861E19" w:rsidTr="00861E19">
        <w:trPr>
          <w:trHeight w:val="350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4028" w:type="pct"/>
            <w:vAlign w:val="center"/>
          </w:tcPr>
          <w:p w:rsidR="007F2337" w:rsidRPr="00861E19" w:rsidRDefault="003D292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Digitar a placa do veículo e “gravar”</w:t>
            </w:r>
            <w:r w:rsidR="009E450C" w:rsidRPr="00861E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2337" w:rsidRPr="00861E19" w:rsidTr="00861E19">
        <w:trPr>
          <w:trHeight w:val="370"/>
        </w:trPr>
        <w:tc>
          <w:tcPr>
            <w:tcW w:w="972" w:type="pct"/>
            <w:vAlign w:val="center"/>
          </w:tcPr>
          <w:p w:rsidR="007F2337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4028" w:type="pct"/>
            <w:vAlign w:val="center"/>
          </w:tcPr>
          <w:p w:rsidR="007F2337" w:rsidRPr="00861E19" w:rsidRDefault="009E450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 xml:space="preserve">Entrar no Sistema </w:t>
            </w:r>
            <w:proofErr w:type="spellStart"/>
            <w:r w:rsidRPr="00861E19">
              <w:rPr>
                <w:rFonts w:ascii="Arial" w:hAnsi="Arial" w:cs="Arial"/>
                <w:sz w:val="24"/>
                <w:szCs w:val="24"/>
              </w:rPr>
              <w:t>Winsaúde</w:t>
            </w:r>
            <w:proofErr w:type="spellEnd"/>
            <w:r w:rsidRPr="00861E19">
              <w:rPr>
                <w:rFonts w:ascii="Arial" w:hAnsi="Arial" w:cs="Arial"/>
                <w:sz w:val="24"/>
                <w:szCs w:val="24"/>
              </w:rPr>
              <w:t xml:space="preserve"> – Aba Estoque – Movimentação – Entradas de Insumo - Pesquisa – Seleciona “documento”, digitar o número da guia e conferir se foi realizada a entrada corretamente.</w:t>
            </w:r>
          </w:p>
        </w:tc>
      </w:tr>
      <w:tr w:rsidR="00F30A2D" w:rsidRPr="00861E19" w:rsidTr="00861E19">
        <w:trPr>
          <w:trHeight w:val="370"/>
        </w:trPr>
        <w:tc>
          <w:tcPr>
            <w:tcW w:w="972" w:type="pct"/>
            <w:vAlign w:val="center"/>
          </w:tcPr>
          <w:p w:rsidR="00F30A2D" w:rsidRPr="00861E19" w:rsidRDefault="00F30A2D" w:rsidP="00861E1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4028" w:type="pct"/>
            <w:vAlign w:val="center"/>
          </w:tcPr>
          <w:p w:rsidR="00F30A2D" w:rsidRPr="00861E19" w:rsidRDefault="009E450C" w:rsidP="00861E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61E19">
              <w:rPr>
                <w:rFonts w:ascii="Arial" w:hAnsi="Arial" w:cs="Arial"/>
                <w:sz w:val="24"/>
                <w:szCs w:val="24"/>
              </w:rPr>
              <w:t>Arquivar as guias em pasta própria para consulta futura, caso seja necessário.</w:t>
            </w:r>
          </w:p>
        </w:tc>
      </w:tr>
    </w:tbl>
    <w:p w:rsidR="004D5FC4" w:rsidRPr="00861E19" w:rsidRDefault="004D5FC4" w:rsidP="00861E19">
      <w:pPr>
        <w:rPr>
          <w:rFonts w:ascii="Arial" w:hAnsi="Arial" w:cs="Arial"/>
          <w:sz w:val="24"/>
          <w:szCs w:val="24"/>
        </w:rPr>
      </w:pPr>
    </w:p>
    <w:sectPr w:rsidR="004D5FC4" w:rsidRPr="00861E19" w:rsidSect="00861E19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32" w:rsidRDefault="00227232" w:rsidP="00861E19">
      <w:pPr>
        <w:spacing w:after="0" w:line="240" w:lineRule="auto"/>
      </w:pPr>
      <w:r>
        <w:separator/>
      </w:r>
    </w:p>
  </w:endnote>
  <w:endnote w:type="continuationSeparator" w:id="1">
    <w:p w:rsidR="00227232" w:rsidRDefault="00227232" w:rsidP="0086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Look w:val="04A0"/>
    </w:tblPr>
    <w:tblGrid>
      <w:gridCol w:w="1042"/>
      <w:gridCol w:w="2098"/>
      <w:gridCol w:w="2921"/>
      <w:gridCol w:w="1393"/>
      <w:gridCol w:w="2508"/>
    </w:tblGrid>
    <w:tr w:rsidR="00861E19" w:rsidRPr="00631925" w:rsidTr="00856250">
      <w:trPr>
        <w:trHeight w:val="453"/>
      </w:trPr>
      <w:tc>
        <w:tcPr>
          <w:tcW w:w="523" w:type="pct"/>
          <w:vMerge w:val="restart"/>
          <w:vAlign w:val="center"/>
        </w:tcPr>
        <w:p w:rsidR="00861E19" w:rsidRPr="00631925" w:rsidRDefault="00DA00EC" w:rsidP="00DA00EC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POP 01</w:t>
          </w:r>
          <w:r w:rsidR="00861E19" w:rsidRPr="00631925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53" w:type="pct"/>
          <w:vMerge w:val="restart"/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Escrito por:</w:t>
          </w:r>
        </w:p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 w:val="restart"/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Revisado por:</w:t>
          </w:r>
        </w:p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bottom w:val="single" w:sz="4" w:space="0" w:color="auto"/>
          </w:tcBorders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Data:</w:t>
          </w:r>
        </w:p>
        <w:p w:rsidR="00861E19" w:rsidRPr="00631925" w:rsidRDefault="00943EEB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fldChar w:fldCharType="begin"/>
          </w:r>
          <w:r w:rsidR="00861E19" w:rsidRPr="00631925">
            <w:rPr>
              <w:rFonts w:ascii="Arial" w:hAnsi="Arial" w:cs="Arial"/>
              <w:sz w:val="20"/>
              <w:szCs w:val="20"/>
            </w:rPr>
            <w:instrText xml:space="preserve"> TIME \@ "dd/MM/yyyy" </w:instrText>
          </w:r>
          <w:r w:rsidRPr="00631925">
            <w:rPr>
              <w:rFonts w:ascii="Arial" w:hAnsi="Arial" w:cs="Arial"/>
              <w:sz w:val="20"/>
              <w:szCs w:val="20"/>
            </w:rPr>
            <w:fldChar w:fldCharType="separate"/>
          </w:r>
          <w:r w:rsidR="000C43D0">
            <w:rPr>
              <w:rFonts w:ascii="Arial" w:hAnsi="Arial" w:cs="Arial"/>
              <w:noProof/>
              <w:sz w:val="20"/>
              <w:szCs w:val="20"/>
            </w:rPr>
            <w:t>04/06/2018</w:t>
          </w:r>
          <w:r w:rsidRPr="006319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259" w:type="pct"/>
          <w:vMerge w:val="restart"/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Visto e orientação da Vigilância Sanitária:</w:t>
          </w:r>
        </w:p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861E19" w:rsidRPr="00631925" w:rsidTr="00856250">
      <w:trPr>
        <w:trHeight w:val="576"/>
      </w:trPr>
      <w:tc>
        <w:tcPr>
          <w:tcW w:w="523" w:type="pct"/>
          <w:vMerge/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3" w:type="pct"/>
          <w:vMerge/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6" w:type="pct"/>
          <w:vMerge/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9" w:type="pct"/>
          <w:tcBorders>
            <w:top w:val="single" w:sz="4" w:space="0" w:color="auto"/>
          </w:tcBorders>
          <w:vAlign w:val="center"/>
        </w:tcPr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Validade:</w:t>
          </w:r>
        </w:p>
        <w:p w:rsidR="00861E19" w:rsidRPr="00631925" w:rsidRDefault="00861E19" w:rsidP="00856250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23/10/2020</w:t>
          </w:r>
        </w:p>
      </w:tc>
      <w:tc>
        <w:tcPr>
          <w:tcW w:w="1259" w:type="pct"/>
          <w:vMerge/>
          <w:vAlign w:val="center"/>
        </w:tcPr>
        <w:p w:rsidR="00861E19" w:rsidRPr="00631925" w:rsidRDefault="00861E19" w:rsidP="00856250">
          <w:pPr>
            <w:jc w:val="center"/>
            <w:rPr>
              <w:sz w:val="20"/>
              <w:szCs w:val="20"/>
            </w:rPr>
          </w:pPr>
        </w:p>
      </w:tc>
    </w:tr>
  </w:tbl>
  <w:p w:rsidR="00861E19" w:rsidRDefault="00861E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32" w:rsidRDefault="00227232" w:rsidP="00861E19">
      <w:pPr>
        <w:spacing w:after="0" w:line="240" w:lineRule="auto"/>
      </w:pPr>
      <w:r>
        <w:separator/>
      </w:r>
    </w:p>
  </w:footnote>
  <w:footnote w:type="continuationSeparator" w:id="1">
    <w:p w:rsidR="00227232" w:rsidRDefault="00227232" w:rsidP="0086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000" w:type="pct"/>
      <w:tblLook w:val="04A0"/>
    </w:tblPr>
    <w:tblGrid>
      <w:gridCol w:w="1989"/>
      <w:gridCol w:w="4652"/>
      <w:gridCol w:w="3321"/>
    </w:tblGrid>
    <w:tr w:rsidR="00861E19" w:rsidRPr="00861E19" w:rsidTr="00861E19">
      <w:trPr>
        <w:trHeight w:val="344"/>
      </w:trPr>
      <w:tc>
        <w:tcPr>
          <w:tcW w:w="998" w:type="pct"/>
          <w:vMerge w:val="restart"/>
        </w:tcPr>
        <w:p w:rsidR="00861E19" w:rsidRPr="00861E19" w:rsidRDefault="00861E1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E19"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721360" cy="763689"/>
                <wp:effectExtent l="0" t="0" r="2540" b="0"/>
                <wp:docPr id="14" name="Imagem 1" descr="C:\Users\scheila.takayasu\Desktop\bras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heila.takayasu\Desktop\bras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574" cy="775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5" w:type="pct"/>
          <w:vMerge w:val="restart"/>
        </w:tcPr>
        <w:p w:rsidR="00861E19" w:rsidRPr="00B91736" w:rsidRDefault="00861E19" w:rsidP="00B9173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91736">
            <w:rPr>
              <w:rFonts w:ascii="Arial" w:hAnsi="Arial" w:cs="Arial"/>
              <w:b/>
              <w:sz w:val="24"/>
              <w:szCs w:val="24"/>
            </w:rPr>
            <w:t>Rotina:</w:t>
          </w:r>
        </w:p>
        <w:p w:rsidR="00861E19" w:rsidRPr="00B91736" w:rsidRDefault="00861E19" w:rsidP="00B91736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91736">
            <w:rPr>
              <w:rFonts w:ascii="Arial" w:hAnsi="Arial" w:cs="Arial"/>
              <w:sz w:val="24"/>
              <w:szCs w:val="24"/>
            </w:rPr>
            <w:t>Aceite de Entrada de Medicamentos e Insumos no Sistema Prefeitura</w:t>
          </w:r>
        </w:p>
      </w:tc>
      <w:tc>
        <w:tcPr>
          <w:tcW w:w="1667" w:type="pct"/>
        </w:tcPr>
        <w:p w:rsidR="00861E19" w:rsidRPr="00B91736" w:rsidRDefault="00861E19" w:rsidP="00B9173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B91736">
            <w:rPr>
              <w:rFonts w:ascii="Arial" w:hAnsi="Arial" w:cs="Arial"/>
              <w:sz w:val="24"/>
              <w:szCs w:val="24"/>
            </w:rPr>
            <w:t>POP 011</w:t>
          </w:r>
        </w:p>
      </w:tc>
    </w:tr>
    <w:tr w:rsidR="00861E19" w:rsidRPr="00861E19" w:rsidTr="00861E19">
      <w:trPr>
        <w:trHeight w:val="344"/>
      </w:trPr>
      <w:tc>
        <w:tcPr>
          <w:tcW w:w="998" w:type="pct"/>
          <w:vMerge/>
        </w:tcPr>
        <w:p w:rsidR="00861E19" w:rsidRPr="00861E19" w:rsidRDefault="00861E19" w:rsidP="00856250">
          <w:pPr>
            <w:rPr>
              <w:rFonts w:ascii="Arial" w:hAnsi="Arial" w:cs="Arial"/>
              <w:b/>
              <w:noProof/>
              <w:sz w:val="20"/>
              <w:szCs w:val="20"/>
              <w:lang w:eastAsia="pt-BR"/>
            </w:rPr>
          </w:pPr>
        </w:p>
      </w:tc>
      <w:tc>
        <w:tcPr>
          <w:tcW w:w="2335" w:type="pct"/>
          <w:vMerge/>
        </w:tcPr>
        <w:p w:rsidR="00861E19" w:rsidRPr="00861E19" w:rsidRDefault="00861E19" w:rsidP="00856250">
          <w:pPr>
            <w:spacing w:line="36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:rsidR="00861E19" w:rsidRPr="00631925" w:rsidRDefault="00861E19" w:rsidP="00861E1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Início da vigência:</w:t>
          </w:r>
        </w:p>
        <w:p w:rsidR="00861E19" w:rsidRPr="00631925" w:rsidRDefault="00861E19" w:rsidP="00861E1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01/</w:t>
          </w:r>
          <w:r w:rsidR="000C43D0">
            <w:rPr>
              <w:rFonts w:ascii="Arial" w:hAnsi="Arial" w:cs="Arial"/>
              <w:sz w:val="20"/>
              <w:szCs w:val="20"/>
            </w:rPr>
            <w:t>06</w:t>
          </w:r>
          <w:r w:rsidRPr="00631925">
            <w:rPr>
              <w:rFonts w:ascii="Arial" w:hAnsi="Arial" w:cs="Arial"/>
              <w:sz w:val="20"/>
              <w:szCs w:val="20"/>
            </w:rPr>
            <w:t>/2018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Content>
            <w:p w:rsidR="00861E19" w:rsidRPr="00631925" w:rsidRDefault="00861E19" w:rsidP="00861E19">
              <w:pPr>
                <w:jc w:val="center"/>
                <w:rPr>
                  <w:rFonts w:ascii="Arial" w:hAnsi="Arial" w:cs="Arial"/>
                  <w:sz w:val="20"/>
                  <w:szCs w:val="20"/>
                </w:rPr>
              </w:pP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Página </w:t>
              </w:r>
              <w:r w:rsidR="00943EE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PAGE </w:instrText>
              </w:r>
              <w:r w:rsidR="00943EE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C43D0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943EE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t xml:space="preserve"> de </w:t>
              </w:r>
              <w:r w:rsidR="00943EEB" w:rsidRPr="00631925">
                <w:rPr>
                  <w:rFonts w:ascii="Arial" w:hAnsi="Arial" w:cs="Arial"/>
                  <w:sz w:val="20"/>
                  <w:szCs w:val="20"/>
                </w:rPr>
                <w:fldChar w:fldCharType="begin"/>
              </w:r>
              <w:r w:rsidRPr="00631925">
                <w:rPr>
                  <w:rFonts w:ascii="Arial" w:hAnsi="Arial" w:cs="Arial"/>
                  <w:sz w:val="20"/>
                  <w:szCs w:val="20"/>
                </w:rPr>
                <w:instrText xml:space="preserve"> NUMPAGES  </w:instrText>
              </w:r>
              <w:r w:rsidR="00943EEB" w:rsidRPr="00631925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="000C43D0">
                <w:rPr>
                  <w:rFonts w:ascii="Arial" w:hAnsi="Arial" w:cs="Arial"/>
                  <w:noProof/>
                  <w:sz w:val="20"/>
                  <w:szCs w:val="20"/>
                </w:rPr>
                <w:t>1</w:t>
              </w:r>
              <w:r w:rsidR="00943EEB" w:rsidRPr="00631925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</w:p>
          </w:sdtContent>
        </w:sdt>
        <w:p w:rsidR="00861E19" w:rsidRPr="00861E19" w:rsidRDefault="00861E19" w:rsidP="00861E1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631925">
            <w:rPr>
              <w:rFonts w:ascii="Arial" w:hAnsi="Arial" w:cs="Arial"/>
              <w:sz w:val="20"/>
              <w:szCs w:val="20"/>
            </w:rPr>
            <w:t>Versão:</w:t>
          </w:r>
          <w:r w:rsidR="00D12B7A">
            <w:rPr>
              <w:rFonts w:ascii="Arial" w:hAnsi="Arial" w:cs="Arial"/>
              <w:sz w:val="20"/>
              <w:szCs w:val="20"/>
            </w:rPr>
            <w:t xml:space="preserve"> </w:t>
          </w:r>
          <w:r w:rsidRPr="00631925">
            <w:rPr>
              <w:rFonts w:ascii="Arial" w:hAnsi="Arial" w:cs="Arial"/>
              <w:sz w:val="20"/>
              <w:szCs w:val="20"/>
            </w:rPr>
            <w:t>01</w:t>
          </w:r>
          <w:r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861E19" w:rsidRPr="00861E19" w:rsidTr="00861E19">
      <w:tc>
        <w:tcPr>
          <w:tcW w:w="998" w:type="pct"/>
        </w:tcPr>
        <w:p w:rsidR="00861E19" w:rsidRPr="00861E19" w:rsidRDefault="00861E1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E19">
            <w:rPr>
              <w:rFonts w:ascii="Arial" w:hAnsi="Arial" w:cs="Arial"/>
              <w:b/>
              <w:sz w:val="20"/>
              <w:szCs w:val="20"/>
            </w:rPr>
            <w:t>Procedimento Operacional Padrão - SEMS</w:t>
          </w:r>
        </w:p>
      </w:tc>
      <w:tc>
        <w:tcPr>
          <w:tcW w:w="2335" w:type="pct"/>
        </w:tcPr>
        <w:p w:rsidR="00861E19" w:rsidRPr="00861E19" w:rsidRDefault="00861E1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E19">
            <w:rPr>
              <w:rFonts w:ascii="Arial" w:hAnsi="Arial" w:cs="Arial"/>
              <w:b/>
              <w:sz w:val="20"/>
              <w:szCs w:val="20"/>
            </w:rPr>
            <w:t>Responsável pela atividade:</w:t>
          </w:r>
        </w:p>
        <w:p w:rsidR="00861E19" w:rsidRPr="00861E19" w:rsidRDefault="00861E1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E19">
            <w:rPr>
              <w:rFonts w:ascii="Arial" w:hAnsi="Arial" w:cs="Arial"/>
              <w:sz w:val="20"/>
              <w:szCs w:val="20"/>
            </w:rPr>
            <w:t>Farmacêutico/ Atendente de Farmácia/ Estagiário</w:t>
          </w:r>
        </w:p>
      </w:tc>
      <w:tc>
        <w:tcPr>
          <w:tcW w:w="1667" w:type="pct"/>
        </w:tcPr>
        <w:p w:rsidR="00861E19" w:rsidRPr="00861E19" w:rsidRDefault="00861E1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E19">
            <w:rPr>
              <w:rFonts w:ascii="Arial" w:hAnsi="Arial" w:cs="Arial"/>
              <w:b/>
              <w:sz w:val="20"/>
              <w:szCs w:val="20"/>
            </w:rPr>
            <w:t>Setor:</w:t>
          </w:r>
        </w:p>
        <w:p w:rsidR="00861E19" w:rsidRPr="00861E19" w:rsidRDefault="00861E19" w:rsidP="00856250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61E19">
            <w:rPr>
              <w:rFonts w:ascii="Arial" w:hAnsi="Arial" w:cs="Arial"/>
              <w:b/>
              <w:sz w:val="20"/>
              <w:szCs w:val="20"/>
            </w:rPr>
            <w:t>Farmácias e Dispensários</w:t>
          </w:r>
        </w:p>
      </w:tc>
    </w:tr>
  </w:tbl>
  <w:p w:rsidR="00861E19" w:rsidRPr="00861E19" w:rsidRDefault="00861E19">
    <w:pPr>
      <w:pStyle w:val="Cabealh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7F2337"/>
    <w:rsid w:val="0001308B"/>
    <w:rsid w:val="0008023A"/>
    <w:rsid w:val="000A797C"/>
    <w:rsid w:val="000C43D0"/>
    <w:rsid w:val="000E62D1"/>
    <w:rsid w:val="00227232"/>
    <w:rsid w:val="003D292C"/>
    <w:rsid w:val="004B521B"/>
    <w:rsid w:val="004C7B90"/>
    <w:rsid w:val="004D5FC4"/>
    <w:rsid w:val="004F3ECF"/>
    <w:rsid w:val="00576C15"/>
    <w:rsid w:val="005B4E74"/>
    <w:rsid w:val="005D0914"/>
    <w:rsid w:val="005D211A"/>
    <w:rsid w:val="006235FA"/>
    <w:rsid w:val="00764FC4"/>
    <w:rsid w:val="007D1A12"/>
    <w:rsid w:val="007F2337"/>
    <w:rsid w:val="00861E19"/>
    <w:rsid w:val="00863451"/>
    <w:rsid w:val="00943EEB"/>
    <w:rsid w:val="009E450C"/>
    <w:rsid w:val="009F426A"/>
    <w:rsid w:val="00B71874"/>
    <w:rsid w:val="00B91736"/>
    <w:rsid w:val="00BB5903"/>
    <w:rsid w:val="00D00E16"/>
    <w:rsid w:val="00D12B7A"/>
    <w:rsid w:val="00DA00EC"/>
    <w:rsid w:val="00EA515E"/>
    <w:rsid w:val="00EB7364"/>
    <w:rsid w:val="00F30A2D"/>
    <w:rsid w:val="00F65D8B"/>
    <w:rsid w:val="00FA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F2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E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1E19"/>
  </w:style>
  <w:style w:type="paragraph" w:styleId="Rodap">
    <w:name w:val="footer"/>
    <w:basedOn w:val="Normal"/>
    <w:link w:val="RodapChar"/>
    <w:uiPriority w:val="99"/>
    <w:semiHidden/>
    <w:unhideWhenUsed/>
    <w:rsid w:val="0086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1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Jaciane Bloss</dc:creator>
  <cp:lastModifiedBy>cibeli.martins</cp:lastModifiedBy>
  <cp:revision>3</cp:revision>
  <dcterms:created xsi:type="dcterms:W3CDTF">2018-05-29T11:52:00Z</dcterms:created>
  <dcterms:modified xsi:type="dcterms:W3CDTF">2018-06-04T20:04:00Z</dcterms:modified>
</cp:coreProperties>
</file>